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DE" w:rsidRPr="00B45E1D" w:rsidRDefault="000E0EDE" w:rsidP="000E0EDE">
      <w:pPr>
        <w:jc w:val="center"/>
        <w:rPr>
          <w:b/>
          <w:sz w:val="28"/>
          <w:szCs w:val="28"/>
        </w:rPr>
      </w:pPr>
      <w:r w:rsidRPr="00B45E1D">
        <w:rPr>
          <w:b/>
          <w:sz w:val="28"/>
          <w:szCs w:val="28"/>
        </w:rPr>
        <w:t>КОНСУЛЬТАЦИЯ ДЛЯ ВОСПИТАТЕЛЕЙ</w:t>
      </w:r>
    </w:p>
    <w:tbl>
      <w:tblPr>
        <w:tblW w:w="4391" w:type="pct"/>
        <w:jc w:val="center"/>
        <w:tblInd w:w="-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C71ED7" w:rsidRPr="00B45E1D" w:rsidTr="003E5A23">
        <w:trPr>
          <w:jc w:val="center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0EDE" w:rsidRPr="00B45E1D" w:rsidRDefault="00C71ED7" w:rsidP="000E0EDE">
            <w:pPr>
              <w:spacing w:before="35" w:after="87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  <w:t xml:space="preserve">"Формирование у старших дошкольников ценностного </w:t>
            </w:r>
            <w:r w:rsidRPr="00B45E1D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  <w:br/>
              <w:t>отношения к здоровому образу жизни "</w:t>
            </w:r>
          </w:p>
          <w:p w:rsidR="000E0EDE" w:rsidRPr="00B45E1D" w:rsidRDefault="003E5A23" w:rsidP="000E0EDE">
            <w:pPr>
              <w:spacing w:before="35" w:after="87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  <w:t>Подготовила: Заместитель директора ДО</w:t>
            </w:r>
            <w:r w:rsidR="000E0EDE" w:rsidRPr="00B45E1D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  <w:t>Устян А.А.</w:t>
            </w:r>
          </w:p>
          <w:p w:rsidR="000E0EDE" w:rsidRPr="00B45E1D" w:rsidRDefault="000E0EDE" w:rsidP="000E0EDE">
            <w:pPr>
              <w:spacing w:before="35" w:after="87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C71ED7" w:rsidRPr="00B45E1D" w:rsidRDefault="00C71ED7" w:rsidP="000E0EDE">
            <w:pPr>
              <w:spacing w:before="35" w:after="87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Интерес к здоровью детей обусловлен все возрастающей тенденцией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к росту заболеваемости, снижением функциональных способностей детей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и темпов их физического и умственного развития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Детство является ключевым периодом жизни, когда формируются все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морфологические и функциональные структуры, определяющие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 xml:space="preserve">потенциальные возможности взрослого человека. Поэтому на этапе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дошкольного возраста, когда жизненные установки детей ещё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недостаточно прочны и нервная система отличается особой пластичностью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, необходимо формировать мотивацию здоровью и организацию их жизненных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интересов на здоровый образ жизни.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Ребёнок не может развиваться, не зная цели и смысла своего существования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не имея представления о себе и своих возможностях. Понимание себя, своих жизненных потребностей необходимо, чтобы понимать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«чувствовать» других людей. Поэтому формирование у детей ответственности за индивидуальное здоровье – это педагогическая проблема.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Многие ученные главным фактором 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 образовательных учреждениях, в том числе дошкольных, призвано формировать у ребёнка правильное и осознанное отношение к себе т своему здоровью.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Следует учитывать, что в дошкольном возрасте биологическая потребность в движении является ведущей и оказывает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мобилизирующее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влияние на интеллектуальное и эмоциональное развитие ребёнка, его привычки и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поведение. Эта потребность проявляется в единстве с потребностью получать удовольствие, наслаждение от участия в двигательной деятельности, сопереживать в процессе взаимодействия и общения,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самоутверждаться</w:t>
            </w:r>
            <w:proofErr w:type="spellEnd"/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На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основе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технологии целенаправленного формирования ценностного отношения детей дошкольного возраста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к здоровью и здоровому образу жизни. 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По мнению ведущих специалистов, именно старший дошкольный возраст является наиболее оптимальным для осознанного постижения окружающего мира, Для развития, как интеллектуальных способностей, так и практических умений и навыков. Однако следует особенно подчеркнуть: формирование у дошкольников знаний, умений и навыков должно включаться в доступные и интересные им виды деятельности. Только тогда программа, разработанная взрослыми, станет для ребёнка «его собственной».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Ценностное отношение проявляется в оценке значимости, важности определённого вида деятельности, не только на уровне сознания, но и в реальных действиях и поступках. В нашем случае это личностные проявления детей, ориентированные на овладение знаниями и навыками сохранения собственного здоровья.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Следует заметить: формы поведения, которым подражает ребёнок, определяются влиянием взрослых. Поэтому роль образовательной среды и педагога,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«Помоги себе и тому, кто рядом»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-т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акого содержание интегрированных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физкульткрных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занятий по формированию ценностного отношения детей к здоровью и ЗОЖ.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Можно выделить три уровня решения задач целенаправленного приобщения детей к ценностям ЗОЖ: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 xml:space="preserve">1-й: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Информационный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, определяющий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знаний в области культуры здоровья и физической культуры, которая проявляется в соответствующих высказываниях и суждениях.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2-й: личностный, свидетельствующий о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эмоционального положительного отношения ребёнка к содержанию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занатий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. Его показател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интерес, потребность, положительные эмоции при выполнении заданий.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 xml:space="preserve">3-й: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, характеризующий активную включенность ребёнка в деятельность организации ЗОЖ. 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Важным показателем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ценностного отношения выступает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реальное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поведеие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ребёнка в виде определённых форм деятельности, чувств, переживаний, положительных реакций и т.п. Все три уровня проявляются в единстве на каждом занятии и создают пространство для реализации возможности детей </w:t>
            </w:r>
            <w:proofErr w:type="spellStart"/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детей</w:t>
            </w:r>
            <w:proofErr w:type="spellEnd"/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, обогащенную развивающую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средц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. Однако эффективность её для каждого ребёнка различна, и результаты достигаются в равные сроки.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Можно выделить следующую структуру процесса формирования ценностного отношения к здоровью и ЗОЖ на занятиях: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1) Создание проблемы (письм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просьба) с участием знакомого детям персонажа.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2) Формирование знаний о ценности здоровья и способах её укрепления.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3) Освоение, закрепление и совершенствование практических действий по организации ЗОЖ.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На занятиях по данной теме можно предложить такой сюжет: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«Позвонили зайчата в службу спасения, им срочно требуется помощь. Они построили себе избушку, но медведь нечаянно её раздавил, а скоро холода. Нужно успеть построить новый дом, иначе зайчата простудятся. Поможем зайчатам? Нужно спешить, поэтому будем использовать все способы передвижения: ходьбу (с мешочком на голове), греблю (тренируем брюшной пресс), еду на велосипеде (развиваем мышцы ног и сердечнососудистую систему), плавани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е(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лёжа на животе, приподнять плечевой пояс и «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грести»разными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способами) и т. д.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 xml:space="preserve">В процессе формирования ценностного отношения детей к здоровью и ЗОЖ рекомендуется использовать как традиционные, так и специфические средства физической культуры.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 xml:space="preserve">К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традиционным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относятся упражнения, составляющие базовое содержание программы по физической культуре для детей старшего дошкольного возраста. Это гимнастические, акробатические, легкоатлетические упражнения,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эффективно решающие задачи всестороннего развития ребёнка, повышения уровня физической подготовленности, коррекции психомоторного развития. Активно используются также элементы спортивной деятельности: теннис, футбол, валейбол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1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, Баскетбол, катание на лыжах, коньках, роликах, бадминтон, ручной мяч и др. В содержание занятий включается и ритмические упражнения.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Традиционные 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Поэтому с учётом анатомо-физиологически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х[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психологических особенностей детей дошкольного возраста можно разработать специальные игры и игровые упражнения (специфические средства).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К нетрадиционным (специфическим средствам) можно отнести игровые упражнения и действия.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Игры-путешествия включают все виды двигательной активности. Каждая игра имеет цель, сюжет и итог. Каждое из физических упражнений, составляющих такую композицию, оказывают определённое воздействие на ребёнка, решает конкретные задачи программы.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Игровой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самомассаж – основа закаливания и оздоровления.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Игропластика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основывается на нетрадиционной методике развития мышечной силы и гибкости, включающей элементы йоги-терапии и упражнения на растягивание.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Пальчиковая гимнастика, 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Креативная гимнастика включает нестандартные упражнения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В отличие от занятий, проводимых по традиционной форме, все средства физического воспитания, подчинены определённому сюжету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gramEnd"/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Использование имитации и подражания, образных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сравнений, соответствует психологическим особенностям дошкольников, облегчает процесс запоминания, освоение упражнений, повышает эмоциональный фон настроения, способствует развитию психологических процессов, творчества, познавательной активности.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Основной методики по формированию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ценностого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отношения к здоровью является игровая деятельность. Дыхательные упражнения также организуются в форме игры.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В связи со своими физиологическими особенностями дети быстро утомляются и не могут долго концентрировать внимание на движениях. У них ещё слабо развито абстрактное мышление, поэтому рекомендуется использовать упражнения с разными предметами и разным темпом выполнения. После закрепления темы рекомендуется проводить встречу со сказочным персонажем, в процессе которого используются освоенные на занятиях упражнения, танцы, игры и эстафеты. 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В конце занятия детям даётся домашнее задание – заполнить дневник здоровья (вспомнить, такие моменты, когда было особенно весело,; подумать в какое время у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иаиы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т папы может быть такое настроение и т. д.)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.Д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невники здоровья дети могут заполнить совместно с родителями.. Подобные задания, на ряду с заданиями типа выполнить дома выполнить то или иное упражнение комплекса, помогают привлечь внимание родителей к здоровью ребёнка, заинтересовываться его успехами. 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На сюжетных занятиях рекомендуется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использрвать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художественное слово. При проведении занятий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еобходимо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использовать положительную оценку, похвалу, поощрение. В процессе общения педагога с детьми происходит не только передача знаний, умений и навыков, но и внешней экспрессии, которая окрашивает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обогощает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занятия, выступает важным условием, определяющим тип эмоционального регулирования коллектива детей. Наиболее существенным можно считать эффект эмоциональной заразительности. Педагог постоянно должен следить за тем, чтобы все дети были вовлечены в работу, е уставали, не отвлекались.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Немало важную роль играет личность педагога: он должен быть искренним, эмоционально открытым, артистическим,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способным к импровизации, владеть навыками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и релаксации, осуществлять творческий подход к детям. От педагога в большей степени зависит эмоциональный настрой на занятии, эффективность выполняемых упражнений.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За основу построения занятия взята традиционная структура, но её содержание имеет специфические особенности.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- Вводная часть занятия начинается с просьбы – обращение сказочного персонажа к детям.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- Частные задания вводной части: настрой детей на деятельность, организация группы, мобилизация внимания, ориентировка на сюжет занятии, умеренный разогрев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оргаизма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, перевод его на другой уровень функционирования. Средняя продолжительность этой части 5-7 минут.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- Средства: построение, строевые упражнения, различные формы ходьбы и бега, прыжки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тацевальные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шаги,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, упражнения на внимание и координацию движения, вплетённые в сюжет физкультурного занятия.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- Основная часть занятия. На неё приходится смысловая нагрузка всего занятия, поэтому в ней предусмотрено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выполнеие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образных физических упражнений, соответствующих теме и сюжету занятия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то этюды, упражнения, игры, направленные на развитие и коррекцию эмоционально-личностной и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познавательой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csth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ребёнка, на освоение и закрепление знаний и практических действий по организации ЗОЖ, а также игры и упражнения оздоровительной направленности.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- Средства: элементы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сказкотерапии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психодрамы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, игры на развитие навыков общения, восприятия, памяти, внимания, воображения.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Основная часть занимает 80% времени всего занятия. Однообразные упражнения дети выполняют неохотно. Если же занятие организовать как увлекательное путешествие, где нужна сила, ловкость, прочность движения, то появляется желание заниматься, интерес к занятию, эмоциональный настрой.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Начинаем с выполнения общеразвивающих упражнений из различных положений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развитие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и укрепление различных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групп мышц, подвижности позвоночника, с ходьбы и дыхательных упражнений. Иногда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общерразвивающие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упражнения занимаем элементами ритмики,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игроритмикой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игрогимнастикой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. После комплекса общеразвивающих упражнений следует основные виды движения. 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В каждом занятии, помимо новой информации, используется материал на закрепление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. Дети любят смотреть одни и те же мультфильмы, читать одни и те же сказки по многу раз, поэтому повторение знакомых сюжетов детям нравятся, а знания лучше запоминаются.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Основная часть заканчивается подвижными играми, соответствующими сюжету занятия. Задачи данной части: обучение основным видам движения (бег, прыжки, лазанье и т.д.), развитие физических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качесв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, функциональных способностей. Примерная продолжительность 20-25 минут.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- Заключительная часть – итог физкультурного занятия. Дети обмениваются впечатлениями, обсуждают письм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благодарность от сказочного персонажа, высказывают своё мнение о том, что нового узнали, получают домашнее задание, которое должны выполнить с родителями и т.д. Совместно с педагогом формируются советы по укреплению здоровья герою сказки, который обращается к детям за помощью. Задачи данной части: создание у каждого ребёнка чувство принадлежности группе и закрепление положительных эмоций от работы на занятии. Предусматривается проведение общей игры-забавы или другой коллективной деятельности.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- Средства: игры малой подвижности, упражнение на дыхание, релаксацию,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психорегуляцию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и развитие мелкой моторики.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Упражнения, используемые в подготовительной и закрепительной </w:t>
            </w:r>
            <w:proofErr w:type="gram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частях</w:t>
            </w:r>
            <w:proofErr w:type="gram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занятия, а также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психогимнастику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, игры рекомендуется менять через каждые 6 занятий, чтобы привести их в соответствие с сюжетом занятия, а комплексы общеразвивающих упражнений основной части - постепенно усложнять и увеличивать нагрузку. При дозировке упражнений следует учитывать уровень подготовленности и индивидуальные особенности детей.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Большое значение на интегрированных физкультурных 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lastRenderedPageBreak/>
              <w:t>занятиях имеет наглядный материал – картинки, соответствующие сюжету занятия, способствующие развитию образного восприятия, творческого мышления. Спортивный инвентарь должен соответствовать возрасту и росту детей. Перед занятием его необходимо расставить согласно сюжету урока.</w:t>
            </w: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br/>
              <w:t>Важную роль в решении задач предлагаемой технологии играет семья, которая, совместно с ДОУ является основной социальной структурой, обеспечивающей сохранение и укрепление здоровья детей, приобщение их к ценностям ЗОЖ.</w:t>
            </w:r>
          </w:p>
          <w:p w:rsidR="00C71ED7" w:rsidRPr="00B45E1D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</w:pPr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Известно, что </w:t>
            </w:r>
            <w:proofErr w:type="spellStart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>ии</w:t>
            </w:r>
            <w:proofErr w:type="spellEnd"/>
            <w:r w:rsidRPr="00B45E1D"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ru-RU"/>
              </w:rPr>
              <w:t xml:space="preserve"> одна даже самая лучшая программа и методика не может гарантировать полноценного результата, если её задачи не решаются совместно с семьёй, если в ДОУ не создаётся детско-взрослое сообщество (дети – родители – педагоги), для которого характерно содействие друг друга, учёт возможностей и интересов каждого, его прав и обязанностей. Заключительная часть</w:t>
            </w:r>
          </w:p>
        </w:tc>
      </w:tr>
    </w:tbl>
    <w:p w:rsidR="00DC2E63" w:rsidRPr="00DC2E63" w:rsidRDefault="00DC2E63" w:rsidP="00DC2E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1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42"/>
      </w:tblGrid>
      <w:tr w:rsidR="00C71ED7" w:rsidRPr="00DC2E63" w:rsidTr="00C71ED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71ED7" w:rsidRPr="00DC2E63" w:rsidRDefault="00C71ED7" w:rsidP="00DC2E63">
            <w:pPr>
              <w:spacing w:before="87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DC2E63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5D3734" w:rsidRDefault="005D3734"/>
    <w:sectPr w:rsidR="005D3734" w:rsidSect="00B45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3"/>
    <w:rsid w:val="000534AA"/>
    <w:rsid w:val="000E0EDE"/>
    <w:rsid w:val="0031797A"/>
    <w:rsid w:val="00385DD9"/>
    <w:rsid w:val="003E5A23"/>
    <w:rsid w:val="005D3734"/>
    <w:rsid w:val="00680EAE"/>
    <w:rsid w:val="007209F8"/>
    <w:rsid w:val="007B2FE4"/>
    <w:rsid w:val="00B45E1D"/>
    <w:rsid w:val="00C71ED7"/>
    <w:rsid w:val="00DC2E63"/>
    <w:rsid w:val="00E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E63"/>
    <w:pPr>
      <w:spacing w:before="35" w:after="87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E63"/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E63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DC2E63"/>
    <w:pPr>
      <w:spacing w:before="87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polosrekl">
    <w:name w:val="polosrekl"/>
    <w:basedOn w:val="a"/>
    <w:rsid w:val="00DC2E63"/>
    <w:pPr>
      <w:shd w:val="clear" w:color="auto" w:fill="00AE76"/>
      <w:spacing w:before="17" w:after="17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33776"/>
      <w:sz w:val="20"/>
      <w:szCs w:val="20"/>
      <w:lang w:eastAsia="ru-RU"/>
    </w:rPr>
  </w:style>
  <w:style w:type="paragraph" w:customStyle="1" w:styleId="epigraf">
    <w:name w:val="epigraf"/>
    <w:basedOn w:val="a"/>
    <w:rsid w:val="00DC2E63"/>
    <w:pPr>
      <w:spacing w:before="87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2E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2E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2E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2E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E63"/>
    <w:pPr>
      <w:spacing w:before="35" w:after="87" w:line="240" w:lineRule="auto"/>
      <w:jc w:val="center"/>
      <w:outlineLvl w:val="2"/>
    </w:pPr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E63"/>
    <w:rPr>
      <w:rFonts w:ascii="Verdana" w:eastAsia="Times New Roman" w:hAnsi="Verdana" w:cs="Times New Roman"/>
      <w:b/>
      <w:bCs/>
      <w:color w:val="FF66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E63"/>
    <w:rPr>
      <w:rFonts w:ascii="Verdana" w:hAnsi="Verdana" w:hint="default"/>
      <w:strike w:val="0"/>
      <w:dstrike w:val="0"/>
      <w:color w:val="003366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DC2E63"/>
    <w:pPr>
      <w:spacing w:before="87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customStyle="1" w:styleId="polosrekl">
    <w:name w:val="polosrekl"/>
    <w:basedOn w:val="a"/>
    <w:rsid w:val="00DC2E63"/>
    <w:pPr>
      <w:shd w:val="clear" w:color="auto" w:fill="00AE76"/>
      <w:spacing w:before="17" w:after="17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33776"/>
      <w:sz w:val="20"/>
      <w:szCs w:val="20"/>
      <w:lang w:eastAsia="ru-RU"/>
    </w:rPr>
  </w:style>
  <w:style w:type="paragraph" w:customStyle="1" w:styleId="epigraf">
    <w:name w:val="epigraf"/>
    <w:basedOn w:val="a"/>
    <w:rsid w:val="00DC2E63"/>
    <w:pPr>
      <w:spacing w:before="87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2E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2E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2E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2E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346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DtSd</cp:lastModifiedBy>
  <cp:revision>3</cp:revision>
  <dcterms:created xsi:type="dcterms:W3CDTF">2017-01-13T11:54:00Z</dcterms:created>
  <dcterms:modified xsi:type="dcterms:W3CDTF">2017-01-13T12:29:00Z</dcterms:modified>
</cp:coreProperties>
</file>